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DA" w:rsidRPr="00EC21D4" w:rsidRDefault="00EE33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color w:val="000000"/>
          <w:sz w:val="2"/>
          <w:szCs w:val="2"/>
          <w:lang w:val="en-GB"/>
        </w:rPr>
      </w:pPr>
    </w:p>
    <w:p w:rsidR="00EE33DA" w:rsidRPr="00EC21D4" w:rsidRDefault="00EE33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/>
          <w:sz w:val="14"/>
          <w:szCs w:val="24"/>
          <w:u w:val="single"/>
          <w:lang w:val="en-GB"/>
        </w:rPr>
      </w:pPr>
    </w:p>
    <w:p w:rsidR="00EE33DA" w:rsidRPr="00EC21D4" w:rsidRDefault="00DF09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/>
          <w:sz w:val="32"/>
          <w:szCs w:val="32"/>
          <w:u w:val="single"/>
          <w:lang w:val="en-GB"/>
        </w:rPr>
      </w:pPr>
      <w:r w:rsidRPr="00EC21D4">
        <w:rPr>
          <w:rFonts w:ascii="Century Gothic" w:eastAsia="Century Gothic" w:hAnsi="Century Gothic" w:cs="Century Gothic"/>
          <w:color w:val="000000"/>
          <w:sz w:val="32"/>
          <w:szCs w:val="32"/>
          <w:u w:val="single"/>
          <w:lang w:val="en-GB"/>
        </w:rPr>
        <w:t>2023</w:t>
      </w:r>
      <w:r w:rsidR="00EC21D4">
        <w:rPr>
          <w:rFonts w:ascii="Century Gothic" w:eastAsia="Century Gothic" w:hAnsi="Century Gothic" w:cs="Century Gothic"/>
          <w:color w:val="000000"/>
          <w:sz w:val="32"/>
          <w:szCs w:val="32"/>
          <w:u w:val="single"/>
          <w:lang w:val="en-GB"/>
        </w:rPr>
        <w:t xml:space="preserve"> Vintage</w:t>
      </w:r>
    </w:p>
    <w:p w:rsidR="00B32755" w:rsidRPr="00EC21D4" w:rsidRDefault="00B32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/>
          <w:sz w:val="36"/>
          <w:szCs w:val="36"/>
          <w:u w:val="single"/>
          <w:lang w:val="en-GB"/>
        </w:rPr>
      </w:pPr>
    </w:p>
    <w:p w:rsidR="00A226D2" w:rsidRPr="00EC21D4" w:rsidRDefault="007865AE" w:rsidP="00084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</w:pPr>
      <w:r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An abnormal climate pattern over the year leading up to the </w:t>
      </w:r>
      <w:r w:rsidR="00E3668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2023</w:t>
      </w:r>
      <w:r w:rsid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harvest, featuring a long period of drought, was initially a cause for unc</w:t>
      </w:r>
      <w:r w:rsid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ertaint</w:t>
      </w:r>
      <w:r w:rsidR="00E3668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y</w:t>
      </w:r>
      <w:r w:rsid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. </w:t>
      </w:r>
      <w:r w:rsidR="009C557A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A colder winter than </w:t>
      </w:r>
      <w:r w:rsidR="0059584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in </w:t>
      </w:r>
      <w:r w:rsidR="009C557A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the </w:t>
      </w:r>
      <w:r w:rsidR="00E3668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previous </w:t>
      </w:r>
      <w:r w:rsidR="009C557A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year extended through until the end of</w:t>
      </w:r>
      <w:r w:rsidR="00897F80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9C557A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Feb</w:t>
      </w:r>
      <w:r w:rsidR="009C557A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ruary, with significant rainfall allowing the vines to </w:t>
      </w:r>
      <w:r w:rsidR="00AD7C30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resume </w:t>
      </w:r>
      <w:r w:rsidR="003C0CB4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normal </w:t>
      </w:r>
      <w:r w:rsidR="00AD7C30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phy</w:t>
      </w:r>
      <w:r w:rsidR="00AD7C30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siologica</w:t>
      </w:r>
      <w:r w:rsidR="00AD7C30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l post-dormancy </w:t>
      </w:r>
      <w:r w:rsidR="002676EB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</w:t>
      </w:r>
      <w:r w:rsidR="002676E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</w:t>
      </w:r>
      <w:r w:rsidR="002676EB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tivit</w:t>
      </w:r>
      <w:r w:rsidR="002676E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y</w:t>
      </w:r>
      <w:r w:rsidR="002676EB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AD7C30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during the last ten days of March. </w:t>
      </w:r>
      <w:r w:rsidR="00E655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Plant</w:t>
      </w:r>
      <w:r w:rsidR="00AD7C30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growth then continued as per </w:t>
      </w:r>
      <w:r w:rsidR="002676E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usual, desp</w:t>
      </w:r>
      <w:r w:rsidR="00AD7C30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ite </w:t>
      </w:r>
      <w:r w:rsidR="00D66DC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a </w:t>
      </w:r>
      <w:r w:rsidR="0024550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fluctuating </w:t>
      </w:r>
      <w:r w:rsidR="00D66DC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climate</w:t>
      </w:r>
      <w:r w:rsidR="00CB663E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: </w:t>
      </w:r>
      <w:r w:rsidR="0024550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very little rainfall in the first part of spring, followed in May and June by frequent - and at times heavy - </w:t>
      </w:r>
      <w:r w:rsidR="00CB663E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D66DC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weather fronts and generally cool temperatures. </w:t>
      </w:r>
      <w:r w:rsidR="002676E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On the one hand these</w:t>
      </w:r>
      <w:r w:rsidR="002676EB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506B41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condi</w:t>
      </w:r>
      <w:r w:rsidR="001854E3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t</w:t>
      </w:r>
      <w:r w:rsidR="00506B41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ion</w:t>
      </w:r>
      <w:r w:rsidR="001854E3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s</w:t>
      </w:r>
      <w:r w:rsidR="00506B41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1854E3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facilitated plant growth, while on the other </w:t>
      </w:r>
      <w:r w:rsidR="002676E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they </w:t>
      </w:r>
      <w:r w:rsidR="001854E3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requir</w:t>
      </w:r>
      <w:r w:rsidR="002676E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ed</w:t>
      </w:r>
      <w:r w:rsidR="001854E3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growers to take great care in order to avert the early onset of plant diseases, The unsettled </w:t>
      </w:r>
      <w:r w:rsidR="0093584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climate situation came to a head on July 6</w:t>
      </w:r>
      <w:r w:rsidR="0093584D" w:rsidRPr="0093584D">
        <w:rPr>
          <w:rFonts w:asciiTheme="minorHAnsi" w:eastAsia="Century Gothic" w:hAnsiTheme="minorHAnsi" w:cs="Century Gothic"/>
          <w:color w:val="000000"/>
          <w:sz w:val="21"/>
          <w:szCs w:val="21"/>
          <w:vertAlign w:val="superscript"/>
          <w:lang w:val="en-GB"/>
        </w:rPr>
        <w:t>th</w:t>
      </w:r>
      <w:r w:rsidR="0059584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, </w:t>
      </w:r>
      <w:r w:rsidR="0093584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with the key atmospheric </w:t>
      </w:r>
      <w:r w:rsidR="00701280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event</w:t>
      </w:r>
      <w:r w:rsidR="0093584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of the </w:t>
      </w:r>
      <w:r w:rsidR="00E655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year</w:t>
      </w:r>
      <w:r w:rsidR="0093584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when the Alba area was hit by very heavy rain and hailstorms</w:t>
      </w:r>
      <w:r w:rsidR="0059584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</w:t>
      </w:r>
      <w:r w:rsidR="0093584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affect</w:t>
      </w:r>
      <w:r w:rsidR="002676E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ing</w:t>
      </w:r>
      <w:r w:rsidR="0093584D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a huge area with - as often happens in these cases - very differing consequences. </w:t>
      </w:r>
      <w:r w:rsidR="003862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While the Barolo and Dogliani growing areas escaped unscathed, and </w:t>
      </w:r>
      <w:r w:rsidR="00351FC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B</w:t>
      </w:r>
      <w:r w:rsidR="000251D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arbaresco</w:t>
      </w:r>
      <w:r w:rsidR="00527966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3862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was only </w:t>
      </w:r>
      <w:r w:rsidR="000251D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marginal</w:t>
      </w:r>
      <w:r w:rsidR="003862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ly 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interested</w:t>
      </w:r>
      <w:r w:rsidR="003862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the town of Alba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and</w:t>
      </w:r>
      <w:r w:rsidR="003862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the hills towards the Langa of the Belbo and </w:t>
      </w:r>
      <w:r w:rsidR="0059584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in </w:t>
      </w:r>
      <w:r w:rsidR="003862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part of the 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Roe</w:t>
      </w:r>
      <w:r w:rsidR="000251D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ro 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were the most affected</w:t>
      </w:r>
      <w:r w:rsidR="00527966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. 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This date marked an </w:t>
      </w:r>
      <w:r w:rsidR="00527966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inversion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in th</w:t>
      </w:r>
      <w:r w:rsidR="00527966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e climat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e, leading to a hot</w:t>
      </w:r>
      <w:r w:rsidR="00CB7049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settled</w:t>
      </w:r>
      <w:r w:rsidR="00500DD8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summer </w:t>
      </w:r>
      <w:r w:rsidR="00CB7049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in </w:t>
      </w:r>
      <w:r w:rsidR="00CB7049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meteorologic</w:t>
      </w:r>
      <w:r w:rsidR="00CB7049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al terms, without significant </w:t>
      </w:r>
      <w:r w:rsidR="00A3254F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conse</w:t>
      </w:r>
      <w:r w:rsidR="00CB7049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quences associated with water stress in the vineyards. Véraison began in the first ten days of August, revealing a good crop load </w:t>
      </w:r>
      <w:r w:rsidR="003F1D9A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with notably healthy grapes, promising a good vintage in terms of both quality and </w:t>
      </w:r>
      <w:r w:rsidR="00B419F0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quantit</w:t>
      </w:r>
      <w:r w:rsidR="003F1D9A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y</w:t>
      </w:r>
      <w:r w:rsidR="00B419F0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. </w:t>
      </w:r>
      <w:r w:rsidR="00480BA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The first </w:t>
      </w:r>
      <w:r w:rsidR="00480BAF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tec</w:t>
      </w:r>
      <w:r w:rsidR="00480BA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h</w:t>
      </w:r>
      <w:r w:rsidR="00480BAF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nologica</w:t>
      </w:r>
      <w:r w:rsidR="00480BA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l ripen</w:t>
      </w:r>
      <w:r w:rsidR="0059584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ing</w:t>
      </w:r>
      <w:r w:rsidR="00480BA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analyses carried out at the end of August showed </w:t>
      </w:r>
      <w:r w:rsidR="00BE7D6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that </w:t>
      </w:r>
      <w:r w:rsidR="00480BA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the vintage would be developing </w:t>
      </w:r>
      <w:r w:rsidR="0059584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according to schedule</w:t>
      </w:r>
      <w:r w:rsidR="00480BA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, rather than </w:t>
      </w:r>
      <w:r w:rsidR="0061178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ahead of time as</w:t>
      </w:r>
      <w:r w:rsidR="00BE7D6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may have initially been suggested</w:t>
      </w:r>
      <w:r w:rsidR="0061178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BE7D6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by </w:t>
      </w:r>
      <w:r w:rsidR="0061178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the summer </w:t>
      </w:r>
      <w:r w:rsidR="00B419F0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temperature</w:t>
      </w:r>
      <w:r w:rsidR="0061178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s</w:t>
      </w:r>
      <w:r w:rsidR="00B419F0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. 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The white wine grapes ripened in the first week of September, with excellent 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acidit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y and balanced sugar content. The red varieties developed in keeping with traditional timing for the area, all in ideal 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condi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t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ion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s</w:t>
      </w:r>
      <w:r w:rsidR="00BE7D6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with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the 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D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olcetto </w:t>
      </w:r>
      <w:r w:rsidR="00BE7D6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ripening from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the 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second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h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lf of </w:t>
      </w:r>
      <w:r w:rsidR="00E655B1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September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followed by the Ba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rbera 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and ending with the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N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ebbiolo 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late in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6743F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O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</w:t>
      </w:r>
      <w:r w:rsidR="006743F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tob</w:t>
      </w:r>
      <w:r w:rsidR="006743F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er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.</w:t>
      </w:r>
    </w:p>
    <w:p w:rsidR="00D53AF8" w:rsidRPr="00EC21D4" w:rsidRDefault="006743F7" w:rsidP="00084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</w:pPr>
      <w:r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In terms </w:t>
      </w:r>
      <w:r w:rsidR="00170A9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of </w:t>
      </w:r>
      <w:r w:rsidR="00BE7D66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yields</w:t>
      </w:r>
      <w:r w:rsidR="00170A9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overall none of the significant drops in production reported in other winegrowing areas are to be noted</w:t>
      </w:r>
      <w:r w:rsidR="00A226D2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.</w:t>
      </w:r>
      <w:r w:rsidR="00170A9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D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olcetto </w:t>
      </w:r>
      <w:r w:rsidR="00170A9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and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B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arbera </w:t>
      </w:r>
      <w:r w:rsidR="00FC23B7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ha</w:t>
      </w:r>
      <w:r w:rsidR="00170A9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d lower sugar contents than in previous vintages, but with greater balance among the 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vari</w:t>
      </w:r>
      <w:r w:rsidR="00170A9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ous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component</w:t>
      </w:r>
      <w:r w:rsidR="00170A92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s</w:t>
      </w:r>
      <w:r w:rsidR="0061435E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, promising </w:t>
      </w:r>
      <w:r w:rsidR="00673BB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delightful</w:t>
      </w:r>
      <w:r w:rsidR="0061435E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well-structured wines</w:t>
      </w:r>
      <w:r w:rsidR="00F24D7C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.  </w:t>
      </w:r>
      <w:r w:rsidR="00A226D2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N</w:t>
      </w:r>
      <w:r w:rsidR="002343CB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ebbiolo </w:t>
      </w:r>
      <w:r w:rsidR="0061435E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is once again showing its ability to adapt </w:t>
      </w:r>
      <w:r w:rsidR="005965D3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here</w:t>
      </w:r>
      <w:r w:rsidR="0061435E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showing the technological and phenolic levels typical of the great vintages, with no</w:t>
      </w:r>
      <w:r w:rsidR="00A226D2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3B019E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correla</w:t>
      </w:r>
      <w:r w:rsidR="0061435E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t</w:t>
      </w:r>
      <w:r w:rsidR="003B019E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ion</w:t>
      </w:r>
      <w:r w:rsidR="0061435E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bet</w:t>
      </w:r>
      <w:r w:rsidR="00C809C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ween summer heat and excessive sugar or reduced a</w:t>
      </w:r>
      <w:r w:rsidR="003B019E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cidit</w:t>
      </w:r>
      <w:r w:rsidR="00C809C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y</w:t>
      </w:r>
      <w:r w:rsidR="003B019E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. </w:t>
      </w:r>
      <w:r w:rsidR="00954776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In conclusion</w:t>
      </w:r>
      <w:r w:rsidR="00C809C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, a vintage</w:t>
      </w:r>
      <w:r w:rsidR="00521DD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</w:t>
      </w:r>
      <w:r w:rsidR="005965D3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is to</w:t>
      </w:r>
      <w:r w:rsidR="00521DD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be expected</w:t>
      </w:r>
      <w:r w:rsidR="00C809C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 with </w:t>
      </w:r>
      <w:r w:rsidR="00521DD7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appealing, </w:t>
      </w:r>
      <w:r w:rsidR="00606F05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elegant</w:t>
      </w:r>
      <w:r w:rsidR="00C809CB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 xml:space="preserve">, </w:t>
      </w:r>
      <w:r w:rsidR="00673BBF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well-balanced wines with great potential</w:t>
      </w:r>
      <w:r w:rsidR="00954776" w:rsidRPr="00EC21D4">
        <w:rPr>
          <w:rFonts w:asciiTheme="minorHAnsi" w:eastAsia="Century Gothic" w:hAnsiTheme="minorHAnsi" w:cs="Century Gothic"/>
          <w:color w:val="000000"/>
          <w:sz w:val="21"/>
          <w:szCs w:val="21"/>
          <w:lang w:val="en-GB"/>
        </w:rPr>
        <w:t>.</w:t>
      </w:r>
      <w:bookmarkStart w:id="0" w:name="_GoBack"/>
      <w:bookmarkEnd w:id="0"/>
    </w:p>
    <w:sectPr w:rsidR="00D53AF8" w:rsidRPr="00EC21D4" w:rsidSect="00BC5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041" w:right="1134" w:bottom="2041" w:left="1134" w:header="709" w:footer="19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E43" w:rsidRDefault="00117E43">
      <w:r>
        <w:separator/>
      </w:r>
    </w:p>
  </w:endnote>
  <w:endnote w:type="continuationSeparator" w:id="1">
    <w:p w:rsidR="00117E43" w:rsidRDefault="0011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DA" w:rsidRDefault="00EE3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DA" w:rsidRDefault="00EE3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DA" w:rsidRDefault="00EE3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E43" w:rsidRDefault="00117E43">
      <w:r>
        <w:separator/>
      </w:r>
    </w:p>
  </w:footnote>
  <w:footnote w:type="continuationSeparator" w:id="1">
    <w:p w:rsidR="00117E43" w:rsidRDefault="00117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DA" w:rsidRDefault="00EE33D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"/>
      <w:tblW w:w="8744" w:type="dxa"/>
      <w:tblInd w:w="0" w:type="dxa"/>
      <w:tblLayout w:type="fixed"/>
      <w:tblLook w:val="0000"/>
    </w:tblPr>
    <w:tblGrid>
      <w:gridCol w:w="3843"/>
      <w:gridCol w:w="1252"/>
      <w:gridCol w:w="3649"/>
    </w:tblGrid>
    <w:tr w:rsidR="00EE33DA">
      <w:trPr>
        <w:trHeight w:val="151"/>
      </w:trPr>
      <w:tc>
        <w:tcPr>
          <w:tcW w:w="3843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EE33DA" w:rsidRDefault="00EE33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rPr>
              <w:color w:val="4F81BD"/>
              <w:sz w:val="24"/>
              <w:szCs w:val="24"/>
            </w:rPr>
          </w:pPr>
        </w:p>
      </w:tc>
      <w:tc>
        <w:tcPr>
          <w:tcW w:w="1252" w:type="dxa"/>
          <w:vMerge w:val="restart"/>
          <w:vAlign w:val="center"/>
        </w:tcPr>
        <w:p w:rsidR="00EE33DA" w:rsidRDefault="0023407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4F81BD"/>
              <w:sz w:val="22"/>
              <w:szCs w:val="22"/>
            </w:rPr>
          </w:pPr>
          <w:r>
            <w:rPr>
              <w:color w:val="4F81BD"/>
              <w:sz w:val="22"/>
              <w:szCs w:val="22"/>
            </w:rPr>
            <w:t>[Digitare il testo]</w:t>
          </w:r>
        </w:p>
      </w:tc>
      <w:tc>
        <w:tcPr>
          <w:tcW w:w="3649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EE33DA" w:rsidRDefault="00EE33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rPr>
              <w:color w:val="4F81BD"/>
              <w:sz w:val="24"/>
              <w:szCs w:val="24"/>
            </w:rPr>
          </w:pPr>
        </w:p>
      </w:tc>
    </w:tr>
    <w:tr w:rsidR="00EE33DA">
      <w:trPr>
        <w:trHeight w:val="150"/>
      </w:trPr>
      <w:tc>
        <w:tcPr>
          <w:tcW w:w="3843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EE33DA" w:rsidRDefault="00EE33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rPr>
              <w:color w:val="4F81BD"/>
              <w:sz w:val="24"/>
              <w:szCs w:val="24"/>
            </w:rPr>
          </w:pPr>
        </w:p>
      </w:tc>
      <w:tc>
        <w:tcPr>
          <w:tcW w:w="1252" w:type="dxa"/>
          <w:vMerge/>
          <w:vAlign w:val="center"/>
        </w:tcPr>
        <w:p w:rsidR="00EE33DA" w:rsidRDefault="00EE33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4F81BD"/>
              <w:sz w:val="24"/>
              <w:szCs w:val="24"/>
            </w:rPr>
          </w:pPr>
        </w:p>
      </w:tc>
      <w:tc>
        <w:tcPr>
          <w:tcW w:w="3649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EE33DA" w:rsidRDefault="00EE33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rPr>
              <w:color w:val="4F81BD"/>
              <w:sz w:val="24"/>
              <w:szCs w:val="24"/>
            </w:rPr>
          </w:pPr>
        </w:p>
      </w:tc>
    </w:tr>
  </w:tbl>
  <w:p w:rsidR="00EE33DA" w:rsidRDefault="00EE3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DA" w:rsidRDefault="002340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-733424</wp:posOffset>
          </wp:positionH>
          <wp:positionV relativeFrom="paragraph">
            <wp:posOffset>-466089</wp:posOffset>
          </wp:positionV>
          <wp:extent cx="7561580" cy="1069403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DA" w:rsidRDefault="00EE3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3DA"/>
    <w:rsid w:val="000251D7"/>
    <w:rsid w:val="00030887"/>
    <w:rsid w:val="00065C79"/>
    <w:rsid w:val="00084A06"/>
    <w:rsid w:val="000A2763"/>
    <w:rsid w:val="00117E43"/>
    <w:rsid w:val="001214FB"/>
    <w:rsid w:val="00170A92"/>
    <w:rsid w:val="00177573"/>
    <w:rsid w:val="001854E3"/>
    <w:rsid w:val="001A1834"/>
    <w:rsid w:val="0020319C"/>
    <w:rsid w:val="0020692D"/>
    <w:rsid w:val="00234074"/>
    <w:rsid w:val="002343CB"/>
    <w:rsid w:val="0024550D"/>
    <w:rsid w:val="002676EB"/>
    <w:rsid w:val="002A21F9"/>
    <w:rsid w:val="002C0DFA"/>
    <w:rsid w:val="002E7AD2"/>
    <w:rsid w:val="00351FCC"/>
    <w:rsid w:val="003749EF"/>
    <w:rsid w:val="003817A7"/>
    <w:rsid w:val="003862B1"/>
    <w:rsid w:val="003B019E"/>
    <w:rsid w:val="003C0CB4"/>
    <w:rsid w:val="003F1D9A"/>
    <w:rsid w:val="003F27CE"/>
    <w:rsid w:val="00480BAF"/>
    <w:rsid w:val="00491727"/>
    <w:rsid w:val="004B14B3"/>
    <w:rsid w:val="004F66F6"/>
    <w:rsid w:val="00500DD8"/>
    <w:rsid w:val="00506B41"/>
    <w:rsid w:val="00521DD7"/>
    <w:rsid w:val="005244C5"/>
    <w:rsid w:val="00525C20"/>
    <w:rsid w:val="00527966"/>
    <w:rsid w:val="00543358"/>
    <w:rsid w:val="00547FD5"/>
    <w:rsid w:val="0055185F"/>
    <w:rsid w:val="0056670C"/>
    <w:rsid w:val="00572127"/>
    <w:rsid w:val="00595842"/>
    <w:rsid w:val="005965D3"/>
    <w:rsid w:val="005A5B85"/>
    <w:rsid w:val="005B0EB9"/>
    <w:rsid w:val="00606F05"/>
    <w:rsid w:val="00611786"/>
    <w:rsid w:val="0061435E"/>
    <w:rsid w:val="00673BBF"/>
    <w:rsid w:val="006743F7"/>
    <w:rsid w:val="00677B94"/>
    <w:rsid w:val="0068465A"/>
    <w:rsid w:val="00701280"/>
    <w:rsid w:val="00722935"/>
    <w:rsid w:val="00737D77"/>
    <w:rsid w:val="007568D5"/>
    <w:rsid w:val="00761958"/>
    <w:rsid w:val="007865AE"/>
    <w:rsid w:val="007A132A"/>
    <w:rsid w:val="007D69F2"/>
    <w:rsid w:val="00826665"/>
    <w:rsid w:val="00844E3C"/>
    <w:rsid w:val="00860591"/>
    <w:rsid w:val="00897F80"/>
    <w:rsid w:val="008B618B"/>
    <w:rsid w:val="008C4900"/>
    <w:rsid w:val="008F6F53"/>
    <w:rsid w:val="0092049B"/>
    <w:rsid w:val="0093584D"/>
    <w:rsid w:val="00954776"/>
    <w:rsid w:val="009B4B1C"/>
    <w:rsid w:val="009C557A"/>
    <w:rsid w:val="009D74A1"/>
    <w:rsid w:val="009E4267"/>
    <w:rsid w:val="00A226D2"/>
    <w:rsid w:val="00A3254F"/>
    <w:rsid w:val="00AC74B7"/>
    <w:rsid w:val="00AD7C30"/>
    <w:rsid w:val="00AE4B1F"/>
    <w:rsid w:val="00B32755"/>
    <w:rsid w:val="00B419F0"/>
    <w:rsid w:val="00BC472B"/>
    <w:rsid w:val="00BC5872"/>
    <w:rsid w:val="00BE7D66"/>
    <w:rsid w:val="00C038B1"/>
    <w:rsid w:val="00C04504"/>
    <w:rsid w:val="00C07FFA"/>
    <w:rsid w:val="00C707E9"/>
    <w:rsid w:val="00C74AB7"/>
    <w:rsid w:val="00C809CB"/>
    <w:rsid w:val="00CA4F68"/>
    <w:rsid w:val="00CB663E"/>
    <w:rsid w:val="00CB7049"/>
    <w:rsid w:val="00D125CF"/>
    <w:rsid w:val="00D35F32"/>
    <w:rsid w:val="00D4173A"/>
    <w:rsid w:val="00D42FF2"/>
    <w:rsid w:val="00D434B8"/>
    <w:rsid w:val="00D53AF8"/>
    <w:rsid w:val="00D66DCD"/>
    <w:rsid w:val="00D70B4E"/>
    <w:rsid w:val="00D87E12"/>
    <w:rsid w:val="00DF09EA"/>
    <w:rsid w:val="00E31B20"/>
    <w:rsid w:val="00E3668F"/>
    <w:rsid w:val="00E655B1"/>
    <w:rsid w:val="00E66E18"/>
    <w:rsid w:val="00EA31CD"/>
    <w:rsid w:val="00EC21D4"/>
    <w:rsid w:val="00ED5D10"/>
    <w:rsid w:val="00EE33DA"/>
    <w:rsid w:val="00F05DDE"/>
    <w:rsid w:val="00F06E1D"/>
    <w:rsid w:val="00F10595"/>
    <w:rsid w:val="00F24D7C"/>
    <w:rsid w:val="00F43C86"/>
    <w:rsid w:val="00F61D4C"/>
    <w:rsid w:val="00F910B1"/>
    <w:rsid w:val="00FC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872"/>
  </w:style>
  <w:style w:type="paragraph" w:styleId="Titolo1">
    <w:name w:val="heading 1"/>
    <w:basedOn w:val="Normale"/>
    <w:next w:val="Normale"/>
    <w:uiPriority w:val="9"/>
    <w:qFormat/>
    <w:rsid w:val="00BC5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C5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C5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C5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C58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C587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C5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C587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C5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58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53AF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53AF8"/>
    <w:rPr>
      <w:i/>
      <w:iCs/>
    </w:rPr>
  </w:style>
  <w:style w:type="character" w:styleId="Enfasigrassetto">
    <w:name w:val="Strong"/>
    <w:basedOn w:val="Carpredefinitoparagrafo"/>
    <w:uiPriority w:val="22"/>
    <w:qFormat/>
    <w:rsid w:val="00D53AF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2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457</Words>
  <Characters>2361</Characters>
  <Application>Microsoft Office Word</Application>
  <DocSecurity>0</DocSecurity>
  <Lines>31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user</cp:lastModifiedBy>
  <cp:revision>10</cp:revision>
  <cp:lastPrinted>2023-11-26T08:52:00Z</cp:lastPrinted>
  <dcterms:created xsi:type="dcterms:W3CDTF">2023-11-24T09:54:00Z</dcterms:created>
  <dcterms:modified xsi:type="dcterms:W3CDTF">2023-11-26T09:49:00Z</dcterms:modified>
</cp:coreProperties>
</file>